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left="2460" w:right="840"/>
        <w:spacing w:after="0" w:line="26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001-37959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trivago N.V.</w:t>
      </w:r>
    </w:p>
    <w:p>
      <w:pPr>
        <w:spacing w:after="0" w:line="5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Kesselstraße 5 - 7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40221 Düsseldorf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Federal Republic of Germany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+49 211 54065110</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Friday, June 26, 2026, trivago N.V. held its Annual General Meeting of Shareholders (the "AGM"). A copy of the voting results of the AGM is furnished as Exhibit 99.1 hereto.</w:t>
      </w:r>
    </w:p>
    <w:p>
      <w:pPr>
        <w:sectPr>
          <w:pgSz w:w="11900" w:h="16838" w:orient="portrait"/>
          <w:cols w:equalWidth="0" w:num="1">
            <w:col w:w="10600"/>
          </w:cols>
          <w:pgMar w:left="320" w:top="887" w:right="97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4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trivago N.V.</w:t>
            </w:r>
          </w:p>
        </w:tc>
      </w:tr>
      <w:tr>
        <w:trPr>
          <w:trHeight w:val="44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Wolf Schmuhl</w:t>
            </w:r>
          </w:p>
        </w:tc>
      </w:tr>
      <w:tr>
        <w:trPr>
          <w:trHeight w:val="218"/>
        </w:trPr>
        <w:tc>
          <w:tcPr>
            <w:tcW w:w="3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Wolf Schmuhl</w:t>
            </w:r>
          </w:p>
        </w:tc>
      </w:tr>
      <w:tr>
        <w:trPr>
          <w:trHeight w:val="234"/>
        </w:trPr>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107" w:right="35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666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pacing w:after="0" w:line="11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2026 AGM Results</w:t>
      </w:r>
      <w:r>
        <w:rPr>
          <w:rFonts w:ascii="Times New Roman" w:cs="Times New Roman" w:eastAsia="Times New Roman" w:hAnsi="Times New Roman"/>
          <w:sz w:val="17"/>
          <w:szCs w:val="17"/>
          <w:color w:val="000000"/>
        </w:rPr>
        <w:t>.</w:t>
      </w:r>
    </w:p>
    <w:p>
      <w:pPr>
        <w:sectPr>
          <w:pgSz w:w="11900" w:h="16838" w:orient="portrait"/>
          <w:cols w:equalWidth="0" w:num="1">
            <w:col w:w="10059"/>
          </w:cols>
          <w:pgMar w:left="400" w:top="88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500" w:type="dxa"/>
            <w:vAlign w:val="bottom"/>
          </w:tcPr>
          <w:p>
            <w:pPr>
              <w:jc w:val="center"/>
              <w:ind w:left="284"/>
              <w:spacing w:after="0"/>
              <w:rPr>
                <w:sz w:val="20"/>
                <w:szCs w:val="20"/>
                <w:color w:val="auto"/>
              </w:rPr>
            </w:pPr>
            <w:r>
              <w:rPr>
                <w:rFonts w:ascii="Times New Roman" w:cs="Times New Roman" w:eastAsia="Times New Roman" w:hAnsi="Times New Roman"/>
                <w:sz w:val="18"/>
                <w:szCs w:val="18"/>
                <w:b w:val="1"/>
                <w:bCs w:val="1"/>
                <w:color w:val="auto"/>
                <w:w w:val="97"/>
              </w:rPr>
              <w:t>trivago N.V.</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500" w:type="dxa"/>
            <w:vAlign w:val="bottom"/>
            <w:gridSpan w:val="3"/>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Annual General Meeting of Shareholders</w:t>
            </w:r>
          </w:p>
        </w:tc>
        <w:tc>
          <w:tcPr>
            <w:tcW w:w="1060" w:type="dxa"/>
            <w:vAlign w:val="bottom"/>
          </w:tcPr>
          <w:p>
            <w:pPr>
              <w:spacing w:after="0"/>
              <w:rPr>
                <w:sz w:val="18"/>
                <w:szCs w:val="18"/>
                <w:color w:val="auto"/>
              </w:rPr>
            </w:pPr>
          </w:p>
        </w:tc>
      </w:tr>
      <w:tr>
        <w:trPr>
          <w:trHeight w:val="238"/>
        </w:trPr>
        <w:tc>
          <w:tcPr>
            <w:tcW w:w="7500" w:type="dxa"/>
            <w:vAlign w:val="bottom"/>
            <w:gridSpan w:val="3"/>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9"/>
              </w:rPr>
              <w:t>June 26, 2026 - 3:00 p.m. CEST</w:t>
            </w:r>
          </w:p>
        </w:tc>
        <w:tc>
          <w:tcPr>
            <w:tcW w:w="1060" w:type="dxa"/>
            <w:vAlign w:val="bottom"/>
          </w:tcPr>
          <w:p>
            <w:pPr>
              <w:spacing w:after="0"/>
              <w:rPr>
                <w:sz w:val="20"/>
                <w:szCs w:val="20"/>
                <w:color w:val="auto"/>
              </w:rPr>
            </w:pPr>
          </w:p>
        </w:tc>
      </w:tr>
      <w:tr>
        <w:trPr>
          <w:trHeight w:val="459"/>
        </w:trPr>
        <w:tc>
          <w:tcPr>
            <w:tcW w:w="4680" w:type="dxa"/>
            <w:vAlign w:val="bottom"/>
          </w:tcPr>
          <w:p>
            <w:pPr>
              <w:spacing w:after="0"/>
              <w:rPr>
                <w:sz w:val="24"/>
                <w:szCs w:val="24"/>
                <w:color w:val="auto"/>
              </w:rPr>
            </w:pPr>
          </w:p>
        </w:tc>
        <w:tc>
          <w:tcPr>
            <w:tcW w:w="1500" w:type="dxa"/>
            <w:vAlign w:val="bottom"/>
          </w:tcPr>
          <w:p>
            <w:pPr>
              <w:jc w:val="center"/>
              <w:ind w:left="284"/>
              <w:spacing w:after="0"/>
              <w:rPr>
                <w:sz w:val="20"/>
                <w:szCs w:val="20"/>
                <w:color w:val="auto"/>
              </w:rPr>
            </w:pPr>
            <w:r>
              <w:rPr>
                <w:rFonts w:ascii="Times New Roman" w:cs="Times New Roman" w:eastAsia="Times New Roman" w:hAnsi="Times New Roman"/>
                <w:sz w:val="18"/>
                <w:szCs w:val="18"/>
                <w:b w:val="1"/>
                <w:bCs w:val="1"/>
                <w:color w:val="auto"/>
                <w:w w:val="99"/>
              </w:rPr>
              <w:t>Voting Results</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48"/>
        </w:trPr>
        <w:tc>
          <w:tcPr>
            <w:tcW w:w="46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250"/>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Resolution</w:t>
            </w: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41"/>
        </w:trPr>
        <w:tc>
          <w:tcPr>
            <w:tcW w:w="4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r>
      <w:tr>
        <w:trPr>
          <w:trHeight w:val="25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Adoption of the Dutch statutory annual accounts over the</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2,437,937,645</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128,370</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349,430</w:t>
            </w:r>
          </w:p>
        </w:tc>
      </w:tr>
      <w:tr>
        <w:trPr>
          <w:trHeight w:val="234"/>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financial year 2025</w:t>
            </w:r>
          </w:p>
        </w:tc>
        <w:tc>
          <w:tcPr>
            <w:tcW w:w="15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1"/>
        </w:trPr>
        <w:tc>
          <w:tcPr>
            <w:tcW w:w="4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r>
      <w:tr>
        <w:trPr>
          <w:trHeight w:val="26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Appointment of the external auditor for the financial year 2026</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2,433,554,675</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4,799,950</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60,820</w:t>
            </w:r>
          </w:p>
        </w:tc>
      </w:tr>
      <w:tr>
        <w:trPr>
          <w:trHeight w:val="48"/>
        </w:trPr>
        <w:tc>
          <w:tcPr>
            <w:tcW w:w="4680" w:type="dxa"/>
            <w:vAlign w:val="bottom"/>
            <w:tcBorders>
              <w:left w:val="single" w:sz="8" w:color="auto"/>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25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Release of the managing directors from liability for the exercise</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2,437,509,290</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574,930</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331,225</w:t>
            </w:r>
          </w:p>
        </w:tc>
      </w:tr>
      <w:tr>
        <w:trPr>
          <w:trHeight w:val="234"/>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their duties during the financial year 2025</w:t>
            </w:r>
          </w:p>
        </w:tc>
        <w:tc>
          <w:tcPr>
            <w:tcW w:w="15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1"/>
        </w:trPr>
        <w:tc>
          <w:tcPr>
            <w:tcW w:w="4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r>
      <w:tr>
        <w:trPr>
          <w:trHeight w:val="25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Re-appointment of Johannes Thomas as managing director for</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2,438,132,190</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151,345</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131,910</w:t>
            </w:r>
          </w:p>
        </w:tc>
      </w:tr>
      <w:tr>
        <w:trPr>
          <w:trHeight w:val="230"/>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period expiring at the end of the annual general meeting to be</w:t>
            </w:r>
          </w:p>
        </w:tc>
        <w:tc>
          <w:tcPr>
            <w:tcW w:w="15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234"/>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held in the year 2029</w:t>
            </w:r>
          </w:p>
        </w:tc>
        <w:tc>
          <w:tcPr>
            <w:tcW w:w="15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0"/>
        </w:trPr>
        <w:tc>
          <w:tcPr>
            <w:tcW w:w="4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r>
      <w:tr>
        <w:trPr>
          <w:trHeight w:val="25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Re-appointment of Jasmine Ezz as managing director for 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2,438,108,415</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176,545</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130,485</w:t>
            </w:r>
          </w:p>
        </w:tc>
      </w:tr>
      <w:tr>
        <w:trPr>
          <w:trHeight w:val="22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period expiring at the end of the annual general meeting to be</w:t>
            </w:r>
          </w:p>
        </w:tc>
        <w:tc>
          <w:tcPr>
            <w:tcW w:w="15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234"/>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held in the year 2029</w:t>
            </w:r>
          </w:p>
        </w:tc>
        <w:tc>
          <w:tcPr>
            <w:tcW w:w="15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1"/>
        </w:trPr>
        <w:tc>
          <w:tcPr>
            <w:tcW w:w="4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r>
      <w:tr>
        <w:trPr>
          <w:trHeight w:val="25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Release of the supervisory directors from liability for the</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2,437,284,475</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806,795</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324,175</w:t>
            </w:r>
          </w:p>
        </w:tc>
      </w:tr>
      <w:tr>
        <w:trPr>
          <w:trHeight w:val="234"/>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exercise of their duties during the financial year 2025</w:t>
            </w:r>
          </w:p>
        </w:tc>
        <w:tc>
          <w:tcPr>
            <w:tcW w:w="15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0"/>
        </w:trPr>
        <w:tc>
          <w:tcPr>
            <w:tcW w:w="4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r>
      <w:tr>
        <w:trPr>
          <w:trHeight w:val="25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Re-appointment of Rolf Schrömgens as supervisory director for</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2,437,839,225</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483,105</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93,115</w:t>
            </w:r>
          </w:p>
        </w:tc>
      </w:tr>
      <w:tr>
        <w:trPr>
          <w:trHeight w:val="229"/>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period expiring at the end of the annual general meeting to be</w:t>
            </w:r>
          </w:p>
        </w:tc>
        <w:tc>
          <w:tcPr>
            <w:tcW w:w="15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234"/>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held in the year 2029</w:t>
            </w:r>
          </w:p>
        </w:tc>
        <w:tc>
          <w:tcPr>
            <w:tcW w:w="15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0"/>
        </w:trPr>
        <w:tc>
          <w:tcPr>
            <w:tcW w:w="4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r>
      <w:tr>
        <w:trPr>
          <w:trHeight w:val="210"/>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Approval of an amendment to the Company's 2016 Amended</w:t>
            </w:r>
          </w:p>
        </w:tc>
        <w:tc>
          <w:tcPr>
            <w:tcW w:w="150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0"/>
                <w:szCs w:val="20"/>
                <w:color w:val="auto"/>
              </w:rPr>
              <w:t>2,432,737,445</w:t>
            </w:r>
          </w:p>
        </w:tc>
        <w:tc>
          <w:tcPr>
            <w:tcW w:w="132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0"/>
                <w:szCs w:val="20"/>
                <w:color w:val="auto"/>
              </w:rPr>
              <w:t>5,561,855</w:t>
            </w:r>
          </w:p>
        </w:tc>
        <w:tc>
          <w:tcPr>
            <w:tcW w:w="10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0"/>
                <w:szCs w:val="20"/>
                <w:color w:val="auto"/>
              </w:rPr>
              <w:t>116,145</w:t>
            </w:r>
          </w:p>
        </w:tc>
      </w:tr>
      <w:tr>
        <w:trPr>
          <w:trHeight w:val="239"/>
        </w:trPr>
        <w:tc>
          <w:tcPr>
            <w:tcW w:w="4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 Restated Omnibus Incentive Plan</w:t>
            </w:r>
          </w:p>
        </w:tc>
        <w:tc>
          <w:tcPr>
            <w:tcW w:w="15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14"/>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Authorization of the management board to acquire shares or</w:t>
            </w:r>
          </w:p>
        </w:tc>
        <w:tc>
          <w:tcPr>
            <w:tcW w:w="1500" w:type="dxa"/>
            <w:vAlign w:val="bottom"/>
            <w:tcBorders>
              <w:right w:val="single" w:sz="8" w:color="auto"/>
            </w:tcBorders>
          </w:tcPr>
          <w:p>
            <w:pPr>
              <w:ind w:left="60"/>
              <w:spacing w:after="0" w:line="214" w:lineRule="exact"/>
              <w:rPr>
                <w:sz w:val="20"/>
                <w:szCs w:val="20"/>
                <w:color w:val="auto"/>
              </w:rPr>
            </w:pPr>
            <w:r>
              <w:rPr>
                <w:rFonts w:ascii="Times New Roman" w:cs="Times New Roman" w:eastAsia="Times New Roman" w:hAnsi="Times New Roman"/>
                <w:sz w:val="20"/>
                <w:szCs w:val="20"/>
                <w:color w:val="auto"/>
              </w:rPr>
              <w:t>2,438,153,235</w:t>
            </w:r>
          </w:p>
        </w:tc>
        <w:tc>
          <w:tcPr>
            <w:tcW w:w="1320" w:type="dxa"/>
            <w:vAlign w:val="bottom"/>
            <w:tcBorders>
              <w:right w:val="single" w:sz="8" w:color="auto"/>
            </w:tcBorders>
          </w:tcPr>
          <w:p>
            <w:pPr>
              <w:ind w:left="60"/>
              <w:spacing w:after="0" w:line="214" w:lineRule="exact"/>
              <w:rPr>
                <w:sz w:val="20"/>
                <w:szCs w:val="20"/>
                <w:color w:val="auto"/>
              </w:rPr>
            </w:pPr>
            <w:r>
              <w:rPr>
                <w:rFonts w:ascii="Times New Roman" w:cs="Times New Roman" w:eastAsia="Times New Roman" w:hAnsi="Times New Roman"/>
                <w:sz w:val="20"/>
                <w:szCs w:val="20"/>
                <w:color w:val="auto"/>
              </w:rPr>
              <w:t>82,545</w:t>
            </w:r>
          </w:p>
        </w:tc>
        <w:tc>
          <w:tcPr>
            <w:tcW w:w="1060" w:type="dxa"/>
            <w:vAlign w:val="bottom"/>
            <w:tcBorders>
              <w:right w:val="single" w:sz="8" w:color="auto"/>
            </w:tcBorders>
          </w:tcPr>
          <w:p>
            <w:pPr>
              <w:ind w:left="60"/>
              <w:spacing w:after="0" w:line="214" w:lineRule="exact"/>
              <w:rPr>
                <w:sz w:val="20"/>
                <w:szCs w:val="20"/>
                <w:color w:val="auto"/>
              </w:rPr>
            </w:pPr>
            <w:r>
              <w:rPr>
                <w:rFonts w:ascii="Times New Roman" w:cs="Times New Roman" w:eastAsia="Times New Roman" w:hAnsi="Times New Roman"/>
                <w:sz w:val="20"/>
                <w:szCs w:val="20"/>
                <w:color w:val="auto"/>
              </w:rPr>
              <w:t>179,665</w:t>
            </w:r>
          </w:p>
        </w:tc>
      </w:tr>
      <w:tr>
        <w:trPr>
          <w:trHeight w:val="239"/>
        </w:trPr>
        <w:tc>
          <w:tcPr>
            <w:tcW w:w="4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depositary receipts for shares in the Company's capital</w:t>
            </w:r>
          </w:p>
        </w:tc>
        <w:tc>
          <w:tcPr>
            <w:tcW w:w="15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195"/>
        </w:trPr>
        <w:tc>
          <w:tcPr>
            <w:tcW w:w="4680" w:type="dxa"/>
            <w:vAlign w:val="bottom"/>
            <w:tcBorders>
              <w:left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Authorization of the management board to cancel shares held</w:t>
            </w:r>
          </w:p>
        </w:tc>
        <w:tc>
          <w:tcPr>
            <w:tcW w:w="150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2,437,922,420</w:t>
            </w:r>
          </w:p>
        </w:tc>
        <w:tc>
          <w:tcPr>
            <w:tcW w:w="1320" w:type="dxa"/>
            <w:vAlign w:val="bottom"/>
            <w:tcBorders>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367,975</w:t>
            </w:r>
          </w:p>
        </w:tc>
        <w:tc>
          <w:tcPr>
            <w:tcW w:w="106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125,050</w:t>
            </w:r>
          </w:p>
        </w:tc>
      </w:tr>
      <w:tr>
        <w:trPr>
          <w:trHeight w:val="234"/>
        </w:trPr>
        <w:tc>
          <w:tcPr>
            <w:tcW w:w="4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by the Company in its capital</w:t>
            </w:r>
          </w:p>
        </w:tc>
        <w:tc>
          <w:tcPr>
            <w:tcW w:w="15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27"/>
        </w:trPr>
        <w:tc>
          <w:tcPr>
            <w:tcW w:w="468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2026-06-29T15:08:33Z</dcterms:created>
  <dcterms:modified xsi:type="dcterms:W3CDTF">2026-06-29T15:08:33Z</dcterms:modified>
</cp:coreProperties>
</file>