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0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048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Hansen Mathias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trivago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TRVG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TRIVAGO N.V.</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KESSELSTRASSE 5-7</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DUSSELDORF 2M</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40221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25,396</w:t>
            </w:r>
          </w:p>
        </w:tc>
        <w:tc>
          <w:tcPr>
            <w:tcW w:w="7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31,786</w:t>
            </w:r>
          </w:p>
        </w:tc>
        <w:tc>
          <w:tcPr>
            <w:tcW w:w="6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60" w:type="dxa"/>
            <w:vAlign w:val="bottom"/>
            <w:tcBorders>
              <w:bottom w:val="single" w:sz="8" w:color="2C2C2C"/>
            </w:tcBorders>
            <w:vMerge w:val="continue"/>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12,016</w:t>
            </w:r>
          </w:p>
        </w:tc>
        <w:tc>
          <w:tcPr>
            <w:tcW w:w="6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60" w:type="dxa"/>
            <w:vAlign w:val="bottom"/>
            <w:tcBorders>
              <w:bottom w:val="single" w:sz="8" w:color="2C2C2C"/>
            </w:tcBorders>
            <w:vMerge w:val="continue"/>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24,502</w:t>
            </w:r>
          </w:p>
        </w:tc>
        <w:tc>
          <w:tcPr>
            <w:tcW w:w="6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(1) American Depositary Share (ADS) represents five (5) Class A Shares.</w:t>
      </w:r>
    </w:p>
    <w:p>
      <w:pPr>
        <w:spacing w:after="0" w:line="52"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April 4, 2024 for a total of 95,357 units. 1/12th vested on May 15, 2024, and an additional 1/12th will vest quarterly on the vesting dates 15 February, 15 May, 15 August and 15 November thereafter until the award is fully vested, subject to continued service on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RSUs do not have an Expiration Date.</w:t>
      </w:r>
    </w:p>
    <w:p>
      <w:pPr>
        <w:spacing w:after="0" w:line="52"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February 27, 2025 for a total of 18,024 units. 1/12th vested on May 15, 2025, and an additional 1/12th will vest quarterly on the vesting dates 15 February, 15 May, 15 August and 15 November thereafter until the award is fully vested, subject to continued service on such vesting date.</w:t>
      </w:r>
    </w:p>
    <w:p>
      <w:pPr>
        <w:spacing w:after="0" w:line="17"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were granted on March 2, 2026 for a total of 24,502 units. 1/12th vesting on May 15, 2026, and an additional 1/12th will vest quarterly on the vesting dates 15 February, 15 May, 15 August and 15 November thereafter until the award is fully vested, subject to continued service on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Anna Grace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Dinwoodie, as Attorney-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69"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Mathias Hansen, Martin Karl Oedelshof, Matthew Martin Connor, Olga Mizikova and Anna Grace Dinwoodie acting singly, other than the undersigned if included among the foregoing, and with full power of substitution or revocation, the undersigned’s true and lawful attorney-in-fact- (each of such persons and their substitutes being referred to herein as the “</w:t>
      </w:r>
      <w:r>
        <w:rPr>
          <w:rFonts w:ascii="Times New Roman" w:cs="Times New Roman" w:eastAsia="Times New Roman" w:hAnsi="Times New Roman"/>
          <w:sz w:val="21"/>
          <w:szCs w:val="21"/>
          <w:b w:val="1"/>
          <w:bCs w:val="1"/>
          <w:color w:val="auto"/>
        </w:rPr>
        <w:t>Attorney-in-Fact</w:t>
      </w:r>
      <w:r>
        <w:rPr>
          <w:rFonts w:ascii="Times New Roman" w:cs="Times New Roman" w:eastAsia="Times New Roman" w:hAnsi="Times New Roman"/>
          <w:sz w:val="21"/>
          <w:szCs w:val="21"/>
          <w:color w:val="auto"/>
        </w:rPr>
        <w:t>”), with full power to act for the undersigned and in the undersigned's name, place and stead, in any and all capacities, to:</w:t>
      </w:r>
    </w:p>
    <w:p>
      <w:pPr>
        <w:spacing w:after="0" w:line="214" w:lineRule="exact"/>
        <w:rPr>
          <w:sz w:val="20"/>
          <w:szCs w:val="20"/>
          <w:color w:val="auto"/>
        </w:rPr>
      </w:pPr>
    </w:p>
    <w:p>
      <w:pPr>
        <w:jc w:val="both"/>
        <w:ind w:left="720" w:hanging="360"/>
        <w:spacing w:after="0" w:line="266" w:lineRule="auto"/>
        <w:tabs>
          <w:tab w:leader="none" w:pos="71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trivago N.V.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securities are listed, any and all reports (including any amendments thereto) the undersigned is required to file with the SEC under Section 16 of the Exchange Act or any rule or regulation thereunder, with respect to any securities of the Company, including Forms 3, 4 and 5; and</w:t>
      </w:r>
    </w:p>
    <w:p>
      <w:pPr>
        <w:spacing w:after="0" w:line="224" w:lineRule="exact"/>
        <w:rPr>
          <w:rFonts w:ascii="Times New Roman" w:cs="Times New Roman" w:eastAsia="Times New Roman" w:hAnsi="Times New Roman"/>
          <w:sz w:val="21"/>
          <w:szCs w:val="21"/>
          <w:color w:val="auto"/>
        </w:rPr>
      </w:pPr>
    </w:p>
    <w:p>
      <w:pPr>
        <w:jc w:val="both"/>
        <w:ind w:left="720" w:hanging="360"/>
        <w:spacing w:after="0" w:line="259" w:lineRule="auto"/>
        <w:tabs>
          <w:tab w:leader="none" w:pos="71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84" w:lineRule="exact"/>
        <w:rPr>
          <w:sz w:val="20"/>
          <w:szCs w:val="20"/>
          <w:color w:val="auto"/>
        </w:rPr>
      </w:pPr>
    </w:p>
    <w:p>
      <w:pPr>
        <w:ind w:left="720" w:hanging="360"/>
        <w:spacing w:after="0" w:line="287" w:lineRule="auto"/>
        <w:tabs>
          <w:tab w:leader="none" w:pos="71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202" w:lineRule="exact"/>
        <w:rPr>
          <w:rFonts w:ascii="Times New Roman" w:cs="Times New Roman" w:eastAsia="Times New Roman" w:hAnsi="Times New Roman"/>
          <w:sz w:val="21"/>
          <w:szCs w:val="21"/>
          <w:color w:val="auto"/>
        </w:rPr>
      </w:pPr>
    </w:p>
    <w:p>
      <w:pPr>
        <w:jc w:val="both"/>
        <w:ind w:left="720" w:hanging="360"/>
        <w:spacing w:after="0" w:line="262" w:lineRule="auto"/>
        <w:tabs>
          <w:tab w:leader="none" w:pos="71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29" w:lineRule="exact"/>
        <w:rPr>
          <w:rFonts w:ascii="Times New Roman" w:cs="Times New Roman" w:eastAsia="Times New Roman" w:hAnsi="Times New Roman"/>
          <w:sz w:val="21"/>
          <w:szCs w:val="21"/>
          <w:color w:val="auto"/>
        </w:rPr>
      </w:pPr>
    </w:p>
    <w:p>
      <w:pPr>
        <w:jc w:val="both"/>
        <w:ind w:left="720" w:hanging="360"/>
        <w:spacing w:after="0" w:line="259" w:lineRule="auto"/>
        <w:tabs>
          <w:tab w:leader="none" w:pos="71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33" w:lineRule="exact"/>
        <w:rPr>
          <w:rFonts w:ascii="Times New Roman" w:cs="Times New Roman" w:eastAsia="Times New Roman" w:hAnsi="Times New Roman"/>
          <w:sz w:val="21"/>
          <w:szCs w:val="21"/>
          <w:color w:val="auto"/>
        </w:rPr>
      </w:pPr>
    </w:p>
    <w:p>
      <w:pPr>
        <w:jc w:val="both"/>
        <w:ind w:left="720" w:hanging="360"/>
        <w:spacing w:after="0" w:line="270" w:lineRule="auto"/>
        <w:tabs>
          <w:tab w:leader="none" w:pos="71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16 of the Exchange Act, including, without limitation, the reporting requirements under Section 16 of the Exchange Act.</w:t>
      </w:r>
    </w:p>
    <w:p>
      <w:pPr>
        <w:spacing w:after="0" w:line="145" w:lineRule="exact"/>
        <w:rPr>
          <w:sz w:val="20"/>
          <w:szCs w:val="20"/>
          <w:color w:val="auto"/>
        </w:rPr>
      </w:pPr>
    </w:p>
    <w:p>
      <w:pPr>
        <w:jc w:val="both"/>
        <w:ind w:firstLine="381"/>
        <w:spacing w:after="0" w:line="258"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33" w:lineRule="exact"/>
        <w:rPr>
          <w:sz w:val="20"/>
          <w:szCs w:val="20"/>
          <w:color w:val="auto"/>
        </w:rPr>
      </w:pPr>
    </w:p>
    <w:p>
      <w:pPr>
        <w:jc w:val="both"/>
        <w:ind w:firstLine="206"/>
        <w:spacing w:after="0" w:line="25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0940"/>
          </w:cols>
          <w:pgMar w:left="480" w:top="1109" w:right="47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4 March, 2026.</w:t>
      </w:r>
    </w:p>
    <w:p>
      <w:pPr>
        <w:sectPr>
          <w:pgSz w:w="11900" w:h="16838" w:orient="portrait"/>
          <w:cols w:equalWidth="0" w:num="1">
            <w:col w:w="10940"/>
          </w:cols>
          <w:pgMar w:left="480" w:top="1109" w:right="4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u w:val="single" w:color="auto"/>
          <w:color w:val="auto"/>
        </w:rPr>
        <w:t>/s/ Mathias Hansen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Mathias Hansen</w:t>
      </w:r>
    </w:p>
    <w:sectPr>
      <w:pgSz w:w="11900" w:h="16838" w:orient="portrait"/>
      <w:cols w:equalWidth="0" w:num="1">
        <w:col w:w="9979"/>
      </w:cols>
      <w:pgMar w:left="480" w:top="10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4384" TargetMode="External"/><Relationship Id="rId11"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2026-03-18T09:06:44Z</dcterms:created>
  <dcterms:modified xsi:type="dcterms:W3CDTF">2026-03-18T09:06:44Z</dcterms:modified>
</cp:coreProperties>
</file>