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trivago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Depository Shares (ADS)s each representing 1/5 of a Class A Share, nominal Value (Euro Currency) 0.06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 Investment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4,292,733.00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4,292,733.00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4,292,733.00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Percentage total is based on Class A Shares outstanding as reported in the Issuer's most recent Report on Form 6-K filed with the SEC on August 4, 2026. Each ADS is exchangeable for 1/5 of a Class A Share. The reporting persons are filing this Schedule l3G to reflect the fact that under Rule 13d-1(h) they are eligible to file a Schedule 13G pursuant to Rule 13d-l(c).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 Group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4,292,733.00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4,292,733.00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4,292,733.00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reporting persons are filing this Schedule l3G to reflect the fact that under Rule 13d-1(h) they are eligible to file a Schedule 13G pursuant to Rule 13d-l(c).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 Capital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4,292,733.00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4,292,733.00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4,292,733.00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reporting persons are filing this Schedule l3G to reflect the fact that under Rule 13d-1(h) they are eligible to file a Schedule 13G pursuant to Rule 13d-l(c).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trivago N.V.</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Kesselstra8e 5 - 7 40221 Diisseldorf Federal Republic of Germany</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PAR Investrnent Partners, L.P. PAR Group II, L.P. PAR Capital Management, [nc.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PAR Capital Management, Inc. 200 Clarendon Street, FL 48 Boston, MA 021 I 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State of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Depository Shares (ADS)s each representing 1/5 of a Class A Share, nominal Value (Euro Currency) 0.06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4,292,733</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18.6  %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4,292,733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4,292,733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sole general parbrer of PAR Investment Partners, L.P. is PAR Group II, L.P. The sole general partner of PAR Group II, L.P., is PAR Capital Management, Inc. Each of PAR Group II, L.P. and PAR Capital Management, Inc. may be deemed to be the beneficial owner of all shares held directly by PAR Invesftnent Partners, L.P.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PAR Investment Partners, L.P.</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Steven M. Smith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PAR Group II, L.P.</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Steven M. Smith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PAR Capital Management, Inc.</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Steven M. Smith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PAR INVESTMENT PARTNERS, L.P. By: PAR Group II, L.P. its general partner By: PAR Capital Management, Inc. its general partner PAR GROUP II, L.P. By: PAR Capital Management, Inc. its general partner</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1310</Words>
  <Characters>6718</Characters>
  <CharactersWithSpaces>7979</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