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left="2460" w:right="840"/>
        <w:spacing w:after="0" w:line="265"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001-37959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trivago N.V.</w:t>
      </w:r>
    </w:p>
    <w:p>
      <w:pPr>
        <w:spacing w:after="0" w:line="5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Kesselstraße 5 - 7</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40221 Düsseldorf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Federal Republic of Germany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+49 211 54065110</w:t>
      </w:r>
    </w:p>
    <w:p>
      <w:pPr>
        <w:spacing w:after="0" w:line="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trivago N.V. issued a press release announcing its 2026 annual general meeting of shareholders, and made available to its shareholders certain other materials in connection with such meeting.</w:t>
      </w:r>
    </w:p>
    <w:p>
      <w:pPr>
        <w:sectPr>
          <w:pgSz w:w="11900" w:h="16838" w:orient="portrait"/>
          <w:cols w:equalWidth="0" w:num="1">
            <w:col w:w="10620"/>
          </w:cols>
          <w:pgMar w:left="320" w:top="1346" w:right="95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40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trivago N.V.</w:t>
            </w:r>
          </w:p>
        </w:tc>
      </w:tr>
      <w:tr>
        <w:trPr>
          <w:trHeight w:val="44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Wolf Schmuhl</w:t>
            </w:r>
          </w:p>
        </w:tc>
      </w:tr>
      <w:tr>
        <w:trPr>
          <w:trHeight w:val="218"/>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Wolf Schmuhl</w:t>
            </w:r>
          </w:p>
        </w:tc>
      </w:tr>
      <w:tr>
        <w:trPr>
          <w:trHeight w:val="234"/>
        </w:trPr>
        <w:tc>
          <w:tcPr>
            <w:tcW w:w="3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107" w:right="3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76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23"/>
        </w:trPr>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76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93"/>
        </w:trPr>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28, 2026</w:t>
            </w:r>
          </w:p>
        </w:tc>
        <w:tc>
          <w:tcPr>
            <w:tcW w:w="67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Notice convening the annual general meeting of shareholders with explanatory notes</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80" w:top="887" w:right="10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trivago N.V. Announces Annual General Meeting of Shareholders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DÜSSELDORF, Germany, May 28, 2026 </w:t>
      </w:r>
      <w:r>
        <w:rPr>
          <w:rFonts w:ascii="Times New Roman" w:cs="Times New Roman" w:eastAsia="Times New Roman" w:hAnsi="Times New Roman"/>
          <w:sz w:val="20"/>
          <w:szCs w:val="20"/>
          <w:color w:val="auto"/>
        </w:rPr>
        <w:t>– trivago N.V. (NASDAQ: TRVG) announced today that its annual general meeting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shareholders will be held on June 26, 2026, at the offices of NautaDutilh N.V., Beethovenstraat 400, 1082 PR Amsterdam, the Netherlands. The meeting will start at 3:00 p.m. CEST.</w:t>
      </w:r>
    </w:p>
    <w:p>
      <w:pPr>
        <w:spacing w:after="0" w:line="1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convening notice and explanatory notes for the general meeting are available free of charge in the Investor Relations section of trivago N.V.'s corporate website at ir.trivago.com.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trivago N.V.</w:t>
      </w:r>
    </w:p>
    <w:p>
      <w:pPr>
        <w:spacing w:after="0" w:line="3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trivago N.V. is a leading global hotel search and price comparison platform, and one of the most recognized travel brands in the world. When travelers search for a hotel, we want trivago to be the obvious choice. We help them find the best place to stay and deliver the best deal to book, saving time and money — so every traveler feels smart and confident about their booking. Powered by AI, we personalize and simplify hotel search for millions of travelers, connecting them with more than 7.0 million hotels and other accommodations across more than 190 countries.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comms@trivago.com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ir@trivago.com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This press release contains certain forward-looking statements. Words, and variations of words such as "believe," "expect," "plan," "continue," "will," "should," and similar expressions are intended to identify our forward-looking statements. These forward-looking statements involve risks and uncertainties, many of which are beyond our control, and important factors that could cause actual events and results to differ materially from those in the forward-looking statements. For additional information about factors that could affect our forward-looking statements, see our risk factors, as they may be amended from time to time, set forth in our public filings with the Securities and Exchange Commission. We disclaim and do not undertake any obligation to update or revise any forward-looking statement in this press release, except as required by applicable law or regulation.</w:t>
      </w: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As used herein, references to "we", "us", the "company", or "trivago", or similar terms shall mean trivago N.V. and, as the context requires, its subsidiaries.</w:t>
      </w:r>
    </w:p>
    <w:p>
      <w:pPr>
        <w:sectPr>
          <w:pgSz w:w="11900" w:h="16838" w:orient="portrait"/>
          <w:cols w:equalWidth="0" w:num="1">
            <w:col w:w="11240"/>
          </w:cols>
          <w:pgMar w:left="320" w:top="58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CONVENING NOTICE</w:t>
      </w:r>
    </w:p>
    <w:p>
      <w:pPr>
        <w:spacing w:after="0" w:line="283" w:lineRule="exact"/>
        <w:rPr>
          <w:sz w:val="20"/>
          <w:szCs w:val="20"/>
          <w:color w:val="auto"/>
        </w:rPr>
      </w:pPr>
    </w:p>
    <w:p>
      <w:pPr>
        <w:ind w:right="100"/>
        <w:spacing w:after="0" w:line="315" w:lineRule="auto"/>
        <w:rPr>
          <w:sz w:val="20"/>
          <w:szCs w:val="20"/>
          <w:color w:val="auto"/>
        </w:rPr>
      </w:pPr>
      <w:r>
        <w:rPr>
          <w:rFonts w:ascii="Times New Roman" w:cs="Times New Roman" w:eastAsia="Times New Roman" w:hAnsi="Times New Roman"/>
          <w:sz w:val="20"/>
          <w:szCs w:val="20"/>
          <w:color w:val="auto"/>
        </w:rPr>
        <w:t>This is the convening notice for the annual general meeting of shareholders of trivago N.V.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held on June 26, 2026, at 15:00 CEST at the offices of NautaDutilh N.V., Beethovenstraat 400, 1082 PR Amsterdam, the Netherlands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agenda for the AGM is as follows:</w:t>
      </w:r>
    </w:p>
    <w:p>
      <w:pPr>
        <w:spacing w:after="0" w:line="256" w:lineRule="exact"/>
        <w:rPr>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w:t>
      </w:r>
    </w:p>
    <w:p>
      <w:pPr>
        <w:spacing w:after="0" w:line="238"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Discussion of the Dutch statutory annual report over the financial year 2025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Adoption of the Dutch statutory annual accounts over the financial year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Explanation of the dividend and reservation policy (</w:t>
      </w:r>
      <w:r>
        <w:rPr>
          <w:rFonts w:ascii="Times New Roman" w:cs="Times New Roman" w:eastAsia="Times New Roman" w:hAnsi="Times New Roman"/>
          <w:sz w:val="20"/>
          <w:szCs w:val="20"/>
          <w:i w:val="1"/>
          <w:iCs w:val="1"/>
          <w:color w:val="auto"/>
        </w:rPr>
        <w:t>discussion item</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Appointment of the external auditor for the financial year 2026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of the managing directors from liability for the exercise of their duties during the financial year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7" w:lineRule="exact"/>
        <w:rPr>
          <w:rFonts w:ascii="Times New Roman" w:cs="Times New Roman" w:eastAsia="Times New Roman" w:hAnsi="Times New Roman"/>
          <w:sz w:val="20"/>
          <w:szCs w:val="20"/>
          <w:color w:val="auto"/>
        </w:rPr>
      </w:pPr>
    </w:p>
    <w:p>
      <w:pPr>
        <w:ind w:left="640" w:right="120" w:hanging="325"/>
        <w:spacing w:after="0" w:line="325" w:lineRule="auto"/>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Johannes Thomas as managing director for a period expiring at the end of the annual general meeting to be held in the year 2029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ind w:left="640" w:right="120" w:hanging="325"/>
        <w:spacing w:after="0" w:line="311" w:lineRule="auto"/>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Jasmine Ezz as managing director for a period expiring at the end of the annual general meeting to be held in the year 2029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of the supervisory directors from liability for the exercise of their duties during the financial year 2025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7" w:lineRule="exact"/>
        <w:rPr>
          <w:rFonts w:ascii="Times New Roman" w:cs="Times New Roman" w:eastAsia="Times New Roman" w:hAnsi="Times New Roman"/>
          <w:sz w:val="20"/>
          <w:szCs w:val="20"/>
          <w:color w:val="auto"/>
        </w:rPr>
      </w:pPr>
    </w:p>
    <w:p>
      <w:pPr>
        <w:ind w:left="640" w:right="120" w:hanging="325"/>
        <w:spacing w:after="0" w:line="311" w:lineRule="auto"/>
        <w:tabs>
          <w:tab w:leader="none" w:pos="631"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Re-appointment of Rolf Schrömgens as supervisory director for a period expiring at the end of the annual general meeting to be held in the year 2029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ind w:left="620" w:hanging="305"/>
        <w:spacing w:after="0"/>
        <w:tabs>
          <w:tab w:leader="none" w:pos="6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an amendment to the Company's 2016 Amended and Restated Omnibus Incentive Plan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of the management board to acquire shares or depositary receipts for shares in the Company's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Authorization of the management board to cancel shares held by the Company in its capital (</w:t>
      </w:r>
      <w:r>
        <w:rPr>
          <w:rFonts w:ascii="Times New Roman" w:cs="Times New Roman" w:eastAsia="Times New Roman" w:hAnsi="Times New Roman"/>
          <w:sz w:val="20"/>
          <w:szCs w:val="20"/>
          <w:i w:val="1"/>
          <w:iCs w:val="1"/>
          <w:color w:val="auto"/>
        </w:rPr>
        <w:t>voting item</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ind w:left="640" w:hanging="325"/>
        <w:spacing w:after="0"/>
        <w:tabs>
          <w:tab w:leader="none" w:pos="64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business shall be voted on at the AGM, except such items as included as voting items in the above- mentioned agenda.</w:t>
      </w:r>
    </w:p>
    <w:p>
      <w:pPr>
        <w:sectPr>
          <w:pgSz w:w="11900" w:h="16838" w:orient="portrait"/>
          <w:cols w:equalWidth="0" w:num="1">
            <w:col w:w="11120"/>
          </w:cols>
          <w:pgMar w:left="440" w:top="1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100"/>
        <w:spacing w:after="0" w:line="291" w:lineRule="auto"/>
        <w:rPr>
          <w:sz w:val="20"/>
          <w:szCs w:val="20"/>
          <w:color w:val="auto"/>
        </w:rPr>
      </w:pPr>
      <w:r>
        <w:rPr>
          <w:rFonts w:ascii="Times New Roman" w:cs="Times New Roman" w:eastAsia="Times New Roman" w:hAnsi="Times New Roman"/>
          <w:sz w:val="20"/>
          <w:szCs w:val="20"/>
          <w:color w:val="auto"/>
        </w:rPr>
        <w:t>The registration date for the AGM is May 29, 2026 (the "</w:t>
      </w:r>
      <w:r>
        <w:rPr>
          <w:rFonts w:ascii="Times New Roman" w:cs="Times New Roman" w:eastAsia="Times New Roman" w:hAnsi="Times New Roman"/>
          <w:sz w:val="20"/>
          <w:szCs w:val="20"/>
          <w:b w:val="1"/>
          <w:bCs w:val="1"/>
          <w:color w:val="auto"/>
        </w:rPr>
        <w:t>Registration Date</w:t>
      </w:r>
      <w:r>
        <w:rPr>
          <w:rFonts w:ascii="Times New Roman" w:cs="Times New Roman" w:eastAsia="Times New Roman" w:hAnsi="Times New Roman"/>
          <w:sz w:val="20"/>
          <w:szCs w:val="20"/>
          <w:color w:val="auto"/>
        </w:rPr>
        <w:t>"). Those who are shareholders of the Company, or who otherwise have voting rights and/or meeting rights with respect to shares in the Company's capital, in each case as at close of business on the Registration Date (after processing of all book-entry transfers and other relevant changes relating to the shares in the Company's capital), and who are recorded as such in (i) the Company's shareholders' register and/or (ii) the register maintained by the Company's U.S. transfer agent may attend and, if relevant, vote at the AGM (the "</w:t>
      </w:r>
      <w:r>
        <w:rPr>
          <w:rFonts w:ascii="Times New Roman" w:cs="Times New Roman" w:eastAsia="Times New Roman" w:hAnsi="Times New Roman"/>
          <w:sz w:val="20"/>
          <w:szCs w:val="20"/>
          <w:b w:val="1"/>
          <w:bCs w:val="1"/>
          <w:color w:val="auto"/>
        </w:rPr>
        <w:t>Persons with Meeting Rights</w:t>
      </w:r>
      <w:r>
        <w:rPr>
          <w:rFonts w:ascii="Times New Roman" w:cs="Times New Roman" w:eastAsia="Times New Roman" w:hAnsi="Times New Roman"/>
          <w:sz w:val="20"/>
          <w:szCs w:val="20"/>
          <w:color w:val="auto"/>
        </w:rPr>
        <w:t>"), irrespective of changes to their shareholdings or rights after the Registration Date.</w:t>
      </w:r>
    </w:p>
    <w:p>
      <w:pPr>
        <w:spacing w:after="0" w:line="207" w:lineRule="exact"/>
        <w:rPr>
          <w:sz w:val="20"/>
          <w:szCs w:val="20"/>
          <w:color w:val="auto"/>
        </w:rPr>
      </w:pPr>
    </w:p>
    <w:p>
      <w:pPr>
        <w:jc w:val="both"/>
        <w:ind w:right="100"/>
        <w:spacing w:after="0" w:line="303" w:lineRule="auto"/>
        <w:rPr>
          <w:sz w:val="20"/>
          <w:szCs w:val="20"/>
          <w:color w:val="auto"/>
        </w:rPr>
      </w:pPr>
      <w:r>
        <w:rPr>
          <w:rFonts w:ascii="Times New Roman" w:cs="Times New Roman" w:eastAsia="Times New Roman" w:hAnsi="Times New Roman"/>
          <w:sz w:val="20"/>
          <w:szCs w:val="20"/>
          <w:color w:val="auto"/>
        </w:rPr>
        <w:t>Persons with Meeting Rights who wish to attend the AGM, in person or represented by proxy, must notify the Company in writing of their identity and intention to attend the AGM. This notice must be received by the Company ultimately on June 19, 2026. Persons with Meeting Rights who have not complied with this requirement may be refused entry to the AGM.</w:t>
      </w:r>
    </w:p>
    <w:p>
      <w:pPr>
        <w:spacing w:after="0" w:line="195" w:lineRule="exact"/>
        <w:rPr>
          <w:sz w:val="20"/>
          <w:szCs w:val="20"/>
          <w:color w:val="auto"/>
        </w:rPr>
      </w:pPr>
    </w:p>
    <w:p>
      <w:pPr>
        <w:jc w:val="both"/>
        <w:ind w:right="100"/>
        <w:spacing w:after="0" w:line="303" w:lineRule="auto"/>
        <w:rPr>
          <w:sz w:val="20"/>
          <w:szCs w:val="20"/>
          <w:color w:val="auto"/>
        </w:rPr>
      </w:pPr>
      <w:r>
        <w:rPr>
          <w:rFonts w:ascii="Times New Roman" w:cs="Times New Roman" w:eastAsia="Times New Roman" w:hAnsi="Times New Roman"/>
          <w:sz w:val="20"/>
          <w:szCs w:val="20"/>
          <w:color w:val="auto"/>
        </w:rPr>
        <w:t>Persons with Meeting Rights may have themselves represented at the AGM through the use of a written or electronically recorded proxy. Proxyholders should present a copy of their proxies upon entry to the AGM, failing which the proxyholder concerned may be refused entry to the AGM. A proxy form can be downloaded from the Company's website (https://www.trivago.com).</w:t>
      </w:r>
    </w:p>
    <w:p>
      <w:pPr>
        <w:spacing w:after="0" w:line="195" w:lineRule="exact"/>
        <w:rPr>
          <w:sz w:val="20"/>
          <w:szCs w:val="20"/>
          <w:color w:val="auto"/>
        </w:rPr>
      </w:pPr>
    </w:p>
    <w:p>
      <w:pPr>
        <w:jc w:val="both"/>
        <w:ind w:right="100"/>
        <w:spacing w:after="0" w:line="311" w:lineRule="auto"/>
        <w:rPr>
          <w:sz w:val="20"/>
          <w:szCs w:val="20"/>
          <w:color w:val="auto"/>
        </w:rPr>
      </w:pPr>
      <w:r>
        <w:rPr>
          <w:rFonts w:ascii="Times New Roman" w:cs="Times New Roman" w:eastAsia="Times New Roman" w:hAnsi="Times New Roman"/>
          <w:sz w:val="20"/>
          <w:szCs w:val="20"/>
          <w:color w:val="auto"/>
        </w:rPr>
        <w:t>Detailed voting instructions will be provided separately in the proxy materials distributed to the Persons with Meeting Rights through the relevant intermediaries.</w:t>
      </w:r>
    </w:p>
    <w:p>
      <w:pPr>
        <w:sectPr>
          <w:pgSz w:w="11900" w:h="16838" w:orient="portrait"/>
          <w:cols w:equalWidth="0" w:num="1">
            <w:col w:w="11120"/>
          </w:cols>
          <w:pgMar w:left="440" w:top="1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109"/>
        <w:spacing w:after="0"/>
        <w:rPr>
          <w:sz w:val="20"/>
          <w:szCs w:val="20"/>
          <w:color w:val="auto"/>
        </w:rPr>
      </w:pPr>
      <w:r>
        <w:rPr>
          <w:rFonts w:ascii="Times New Roman" w:cs="Times New Roman" w:eastAsia="Times New Roman" w:hAnsi="Times New Roman"/>
          <w:sz w:val="20"/>
          <w:szCs w:val="20"/>
          <w:b w:val="1"/>
          <w:bCs w:val="1"/>
          <w:color w:val="auto"/>
        </w:rPr>
        <w:t>EXPLANATORY NOTES TO THE AGENDA</w:t>
      </w:r>
    </w:p>
    <w:p>
      <w:pPr>
        <w:spacing w:after="0" w:line="256" w:lineRule="exact"/>
        <w:rPr>
          <w:sz w:val="20"/>
          <w:szCs w:val="20"/>
          <w:color w:val="auto"/>
        </w:rPr>
      </w:pPr>
    </w:p>
    <w:p>
      <w:pPr>
        <w:ind w:left="629" w:hanging="629"/>
        <w:spacing w:after="0"/>
        <w:tabs>
          <w:tab w:leader="none" w:pos="629"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Discussion of the Dutch statutory annual report over the financial year 2025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73" w:lineRule="exact"/>
        <w:rPr>
          <w:rFonts w:ascii="Times New Roman" w:cs="Times New Roman" w:eastAsia="Times New Roman" w:hAnsi="Times New Roman"/>
          <w:sz w:val="20"/>
          <w:szCs w:val="20"/>
          <w:b w:val="1"/>
          <w:bCs w:val="1"/>
          <w:color w:val="auto"/>
        </w:rPr>
      </w:pPr>
    </w:p>
    <w:p>
      <w:pPr>
        <w:ind w:left="629" w:right="100"/>
        <w:spacing w:after="0" w:line="32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Dutch statutory annual report over the financial year 2025 has been made available on the Company's website (http://www.trivago.com) and at the Company's office address.</w:t>
      </w:r>
    </w:p>
    <w:p>
      <w:pPr>
        <w:spacing w:after="0" w:line="156" w:lineRule="exact"/>
        <w:rPr>
          <w:rFonts w:ascii="Times New Roman" w:cs="Times New Roman" w:eastAsia="Times New Roman" w:hAnsi="Times New Roman"/>
          <w:sz w:val="20"/>
          <w:szCs w:val="20"/>
          <w:b w:val="1"/>
          <w:bCs w:val="1"/>
          <w:color w:val="auto"/>
        </w:rPr>
      </w:pPr>
    </w:p>
    <w:p>
      <w:pPr>
        <w:ind w:left="629" w:hanging="629"/>
        <w:spacing w:after="0"/>
        <w:tabs>
          <w:tab w:leader="none" w:pos="629"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the Dutch statutory annual accounts over the financial year 2025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73" w:lineRule="exact"/>
        <w:rPr>
          <w:rFonts w:ascii="Times New Roman" w:cs="Times New Roman" w:eastAsia="Times New Roman" w:hAnsi="Times New Roman"/>
          <w:sz w:val="20"/>
          <w:szCs w:val="20"/>
          <w:b w:val="1"/>
          <w:bCs w:val="1"/>
          <w:color w:val="auto"/>
        </w:rPr>
      </w:pPr>
    </w:p>
    <w:p>
      <w:pPr>
        <w:ind w:left="629" w:right="120"/>
        <w:spacing w:after="0" w:line="32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Dutch statutory annual accounts over the financial year 2025 have been made available on the Company's website (http://ir.trivago.com) and at the Company's office address. It is proposed that these annual accounts be adopted.</w:t>
      </w:r>
    </w:p>
    <w:p>
      <w:pPr>
        <w:spacing w:after="0" w:line="142" w:lineRule="exact"/>
        <w:rPr>
          <w:rFonts w:ascii="Times New Roman" w:cs="Times New Roman" w:eastAsia="Times New Roman" w:hAnsi="Times New Roman"/>
          <w:sz w:val="20"/>
          <w:szCs w:val="20"/>
          <w:b w:val="1"/>
          <w:bCs w:val="1"/>
          <w:color w:val="auto"/>
        </w:rPr>
      </w:pPr>
    </w:p>
    <w:p>
      <w:pPr>
        <w:ind w:left="629" w:hanging="629"/>
        <w:spacing w:after="0"/>
        <w:tabs>
          <w:tab w:leader="none" w:pos="629"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Explanation of the dividend and reservation policy (</w:t>
      </w:r>
      <w:r>
        <w:rPr>
          <w:rFonts w:ascii="Times New Roman" w:cs="Times New Roman" w:eastAsia="Times New Roman" w:hAnsi="Times New Roman"/>
          <w:sz w:val="20"/>
          <w:szCs w:val="20"/>
          <w:b w:val="1"/>
          <w:bCs w:val="1"/>
          <w:i w:val="1"/>
          <w:iCs w:val="1"/>
          <w:color w:val="auto"/>
        </w:rPr>
        <w:t>discussion item</w:t>
      </w:r>
      <w:r>
        <w:rPr>
          <w:rFonts w:ascii="Times New Roman" w:cs="Times New Roman" w:eastAsia="Times New Roman" w:hAnsi="Times New Roman"/>
          <w:sz w:val="20"/>
          <w:szCs w:val="20"/>
          <w:b w:val="1"/>
          <w:bCs w:val="1"/>
          <w:color w:val="auto"/>
        </w:rPr>
        <w:t>)</w:t>
      </w:r>
    </w:p>
    <w:p>
      <w:pPr>
        <w:spacing w:after="0" w:line="287" w:lineRule="exact"/>
        <w:rPr>
          <w:rFonts w:ascii="Times New Roman" w:cs="Times New Roman" w:eastAsia="Times New Roman" w:hAnsi="Times New Roman"/>
          <w:sz w:val="20"/>
          <w:szCs w:val="20"/>
          <w:b w:val="1"/>
          <w:bCs w:val="1"/>
          <w:color w:val="auto"/>
        </w:rPr>
      </w:pPr>
    </w:p>
    <w:p>
      <w:pPr>
        <w:jc w:val="both"/>
        <w:ind w:left="629" w:right="120"/>
        <w:spacing w:after="0" w:line="30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 has formulated a dividend and reservation policy consistent with its current strategy. The Company's policy in this respect is not to distribute any profits in the near future and to add any such profits to the Company's reserves for purposes such as</w:t>
      </w:r>
    </w:p>
    <w:p>
      <w:pPr>
        <w:jc w:val="both"/>
        <w:ind w:left="629" w:right="100"/>
        <w:spacing w:after="0" w:line="29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funding the development and expansion of the Company's business, making future investments, financing capital expenditures and enhancing the Company's liquidity position. If and when the Company does intend to distribute a dividend, such dividend may be distributed in the form of cash only or shares only, through a combination of the foregoing (cash and shares) or through a choice dividend (cash or shares), in each case subject to applicable law.</w:t>
      </w:r>
    </w:p>
    <w:p>
      <w:pPr>
        <w:spacing w:after="0" w:line="190" w:lineRule="exact"/>
        <w:rPr>
          <w:rFonts w:ascii="Times New Roman" w:cs="Times New Roman" w:eastAsia="Times New Roman" w:hAnsi="Times New Roman"/>
          <w:sz w:val="20"/>
          <w:szCs w:val="20"/>
          <w:b w:val="1"/>
          <w:bCs w:val="1"/>
          <w:color w:val="auto"/>
        </w:rPr>
      </w:pPr>
    </w:p>
    <w:p>
      <w:pPr>
        <w:ind w:left="629" w:hanging="629"/>
        <w:spacing w:after="0"/>
        <w:tabs>
          <w:tab w:leader="none" w:pos="629"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Appointment of the external auditor for the financial year 2026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83" w:lineRule="exact"/>
        <w:rPr>
          <w:rFonts w:ascii="Times New Roman" w:cs="Times New Roman" w:eastAsia="Times New Roman" w:hAnsi="Times New Roman"/>
          <w:sz w:val="20"/>
          <w:szCs w:val="20"/>
          <w:b w:val="1"/>
          <w:bCs w:val="1"/>
          <w:color w:val="auto"/>
        </w:rPr>
      </w:pPr>
    </w:p>
    <w:p>
      <w:pPr>
        <w:jc w:val="both"/>
        <w:ind w:left="629" w:right="100"/>
        <w:spacing w:after="0" w:line="30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It is proposed that EY Accountants B.V. ("</w:t>
      </w:r>
      <w:r>
        <w:rPr>
          <w:rFonts w:ascii="Times New Roman" w:cs="Times New Roman" w:eastAsia="Times New Roman" w:hAnsi="Times New Roman"/>
          <w:sz w:val="19"/>
          <w:szCs w:val="19"/>
          <w:b w:val="1"/>
          <w:bCs w:val="1"/>
          <w:color w:val="auto"/>
        </w:rPr>
        <w:t>EY</w:t>
      </w:r>
      <w:r>
        <w:rPr>
          <w:rFonts w:ascii="Times New Roman" w:cs="Times New Roman" w:eastAsia="Times New Roman" w:hAnsi="Times New Roman"/>
          <w:sz w:val="19"/>
          <w:szCs w:val="19"/>
          <w:color w:val="auto"/>
        </w:rPr>
        <w:t>"), the Company’s current external auditor, be appointed and instructed to audit the Company's annual report and annual accounts for the financial year 2026. This proposal is based on the positive outcome of a thorough selection procedure performed by the Company and the supervisory board's approval of the terms of engagement proposed by EY for these services (including the scope of the audit, the materiality to be used and compensation for the audit). The</w:t>
      </w:r>
    </w:p>
    <w:p>
      <w:pPr>
        <w:spacing w:after="0" w:line="1" w:lineRule="exact"/>
        <w:rPr>
          <w:rFonts w:ascii="Times New Roman" w:cs="Times New Roman" w:eastAsia="Times New Roman" w:hAnsi="Times New Roman"/>
          <w:sz w:val="20"/>
          <w:szCs w:val="20"/>
          <w:b w:val="1"/>
          <w:bCs w:val="1"/>
          <w:color w:val="auto"/>
        </w:rPr>
      </w:pPr>
    </w:p>
    <w:p>
      <w:pPr>
        <w:ind w:left="629" w:right="10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main conclusion of the selection procedure is that, because of the importance of continuity of the audit activities, it is desirable to extend EY's current engagement as the Company's external auditor.</w:t>
      </w:r>
    </w:p>
    <w:p>
      <w:pPr>
        <w:spacing w:after="0" w:line="182" w:lineRule="exact"/>
        <w:rPr>
          <w:rFonts w:ascii="Times New Roman" w:cs="Times New Roman" w:eastAsia="Times New Roman" w:hAnsi="Times New Roman"/>
          <w:sz w:val="20"/>
          <w:szCs w:val="20"/>
          <w:b w:val="1"/>
          <w:bCs w:val="1"/>
          <w:color w:val="auto"/>
        </w:rPr>
      </w:pPr>
    </w:p>
    <w:p>
      <w:pPr>
        <w:ind w:left="629" w:hanging="628"/>
        <w:spacing w:after="0"/>
        <w:tabs>
          <w:tab w:leader="none" w:pos="629"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 of the managing directors from liability for the exercise of their duties during the financial year 2025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300" w:lineRule="exact"/>
        <w:rPr>
          <w:rFonts w:ascii="Times New Roman" w:cs="Times New Roman" w:eastAsia="Times New Roman" w:hAnsi="Times New Roman"/>
          <w:sz w:val="20"/>
          <w:szCs w:val="20"/>
          <w:b w:val="1"/>
          <w:bCs w:val="1"/>
          <w:color w:val="auto"/>
        </w:rPr>
      </w:pPr>
    </w:p>
    <w:p>
      <w:pPr>
        <w:jc w:val="both"/>
        <w:ind w:left="649" w:right="100"/>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proposed that the Company's existing and former managing directors be released from liability for the exercise of their duties during the financial year 2025. The scope of this release from liability extends to the exercise of their respective duties insofar as</w:t>
      </w:r>
    </w:p>
    <w:p>
      <w:pPr>
        <w:spacing w:after="0" w:line="1" w:lineRule="exact"/>
        <w:rPr>
          <w:rFonts w:ascii="Times New Roman" w:cs="Times New Roman" w:eastAsia="Times New Roman" w:hAnsi="Times New Roman"/>
          <w:sz w:val="20"/>
          <w:szCs w:val="20"/>
          <w:b w:val="1"/>
          <w:bCs w:val="1"/>
          <w:color w:val="auto"/>
        </w:rPr>
      </w:pPr>
    </w:p>
    <w:p>
      <w:pPr>
        <w:ind w:left="649" w:right="10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these are reflected in the Company's annual report and/or annual accounts over the financial year 2025 or in other public disclosures or communications to the Company’s general meeting of shareholders.</w:t>
      </w:r>
    </w:p>
    <w:p>
      <w:pPr>
        <w:spacing w:after="0" w:line="182" w:lineRule="exact"/>
        <w:rPr>
          <w:rFonts w:ascii="Times New Roman" w:cs="Times New Roman" w:eastAsia="Times New Roman" w:hAnsi="Times New Roman"/>
          <w:sz w:val="20"/>
          <w:szCs w:val="20"/>
          <w:b w:val="1"/>
          <w:bCs w:val="1"/>
          <w:color w:val="auto"/>
        </w:rPr>
      </w:pPr>
    </w:p>
    <w:p>
      <w:pPr>
        <w:ind w:left="649" w:right="100" w:hanging="648"/>
        <w:spacing w:after="0" w:line="315" w:lineRule="auto"/>
        <w:tabs>
          <w:tab w:leader="none" w:pos="645" w:val="left"/>
        </w:tabs>
        <w:numPr>
          <w:ilvl w:val="0"/>
          <w:numId w:val="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Johannes Thomas as managing director for a period expiring at the end of the annual general meeting to be held in the year 2029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0"/>
          <w:szCs w:val="20"/>
          <w:b w:val="1"/>
          <w:bCs w:val="1"/>
          <w:color w:val="auto"/>
        </w:rPr>
      </w:pPr>
    </w:p>
    <w:p>
      <w:pPr>
        <w:ind w:left="649" w:right="12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supervisory board has made a binding nomination to re-appoint Johannes Thomas as managing director of the Company for a period expiring at the end of the annual</w:t>
      </w:r>
    </w:p>
    <w:p>
      <w:pPr>
        <w:sectPr>
          <w:pgSz w:w="11900" w:h="16838" w:orient="portrait"/>
          <w:cols w:equalWidth="0" w:num="1">
            <w:col w:w="11129"/>
          </w:cols>
          <w:pgMar w:left="431" w:top="1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9" w:right="100"/>
        <w:spacing w:after="0" w:line="325" w:lineRule="auto"/>
        <w:rPr>
          <w:sz w:val="20"/>
          <w:szCs w:val="20"/>
          <w:color w:val="auto"/>
        </w:rPr>
      </w:pPr>
      <w:r>
        <w:rPr>
          <w:rFonts w:ascii="Times New Roman" w:cs="Times New Roman" w:eastAsia="Times New Roman" w:hAnsi="Times New Roman"/>
          <w:sz w:val="20"/>
          <w:szCs w:val="20"/>
          <w:color w:val="auto"/>
        </w:rPr>
        <w:t>general meeting to be held in the year 2029. This proposed re-appointment reflects the extension of his current term of appointment, as approved by the supervisory board, until the end of the annual general meeting to be held in the year 2029.</w:t>
      </w:r>
    </w:p>
    <w:p>
      <w:pPr>
        <w:spacing w:after="0" w:line="170" w:lineRule="exact"/>
        <w:rPr>
          <w:sz w:val="20"/>
          <w:szCs w:val="20"/>
          <w:color w:val="auto"/>
        </w:rPr>
      </w:pPr>
    </w:p>
    <w:p>
      <w:pPr>
        <w:ind w:left="649" w:right="100" w:hanging="648"/>
        <w:spacing w:after="0" w:line="315" w:lineRule="auto"/>
        <w:tabs>
          <w:tab w:leader="none" w:pos="645"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Jasmine Ezz as managing director for a period expiring at the end of the annual general meeting to be held in the year 2029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83" w:lineRule="exact"/>
        <w:rPr>
          <w:rFonts w:ascii="Times New Roman" w:cs="Times New Roman" w:eastAsia="Times New Roman" w:hAnsi="Times New Roman"/>
          <w:sz w:val="20"/>
          <w:szCs w:val="20"/>
          <w:b w:val="1"/>
          <w:bCs w:val="1"/>
          <w:color w:val="auto"/>
        </w:rPr>
      </w:pPr>
    </w:p>
    <w:p>
      <w:pPr>
        <w:ind w:left="64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The Company's supervisory board has made a binding nomination to re-appoint Jasmine Ezz as managing director of the Company</w:t>
      </w:r>
    </w:p>
    <w:p>
      <w:pPr>
        <w:spacing w:after="0" w:line="65" w:lineRule="exact"/>
        <w:rPr>
          <w:rFonts w:ascii="Times New Roman" w:cs="Times New Roman" w:eastAsia="Times New Roman" w:hAnsi="Times New Roman"/>
          <w:sz w:val="20"/>
          <w:szCs w:val="20"/>
          <w:b w:val="1"/>
          <w:bCs w:val="1"/>
          <w:color w:val="auto"/>
        </w:rPr>
      </w:pPr>
    </w:p>
    <w:p>
      <w:pPr>
        <w:jc w:val="both"/>
        <w:ind w:left="64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a period expiring at the end of the annual general meeting to be held in the year 2029. This proposed re-appointment reflects the extension of her current term of appointment, as approved by the supervisory board, until the end of the annual general meeting to be held in the year 2029.</w:t>
      </w:r>
    </w:p>
    <w:p>
      <w:pPr>
        <w:spacing w:after="0" w:line="306" w:lineRule="exact"/>
        <w:rPr>
          <w:rFonts w:ascii="Times New Roman" w:cs="Times New Roman" w:eastAsia="Times New Roman" w:hAnsi="Times New Roman"/>
          <w:sz w:val="20"/>
          <w:szCs w:val="20"/>
          <w:b w:val="1"/>
          <w:bCs w:val="1"/>
          <w:color w:val="auto"/>
        </w:rPr>
      </w:pPr>
    </w:p>
    <w:p>
      <w:pPr>
        <w:ind w:left="629" w:right="120" w:hanging="629"/>
        <w:spacing w:after="0" w:line="315" w:lineRule="auto"/>
        <w:tabs>
          <w:tab w:leader="none" w:pos="625"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Release of the supervisory directors from liability for the exercise of their duties during the financial year 2025 (</w:t>
      </w:r>
      <w:r>
        <w:rPr>
          <w:rFonts w:ascii="Times New Roman" w:cs="Times New Roman" w:eastAsia="Times New Roman" w:hAnsi="Times New Roman"/>
          <w:sz w:val="20"/>
          <w:szCs w:val="20"/>
          <w:b w:val="1"/>
          <w:bCs w:val="1"/>
          <w:i w:val="1"/>
          <w:iCs w:val="1"/>
          <w:color w:val="auto"/>
        </w:rPr>
        <w:t>voting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item</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0"/>
          <w:szCs w:val="20"/>
          <w:b w:val="1"/>
          <w:bCs w:val="1"/>
          <w:color w:val="auto"/>
        </w:rPr>
      </w:pPr>
    </w:p>
    <w:p>
      <w:pPr>
        <w:jc w:val="both"/>
        <w:ind w:left="629" w:right="100"/>
        <w:spacing w:after="0" w:line="28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proposed that the Company's existing and former supervisory directors be released from liability for the exercise of their duties during the financial year 2025. The scope of this release from liability extends to the exercise of their respective duties</w:t>
      </w:r>
    </w:p>
    <w:p>
      <w:pPr>
        <w:spacing w:after="0" w:line="1" w:lineRule="exact"/>
        <w:rPr>
          <w:rFonts w:ascii="Times New Roman" w:cs="Times New Roman" w:eastAsia="Times New Roman" w:hAnsi="Times New Roman"/>
          <w:sz w:val="20"/>
          <w:szCs w:val="20"/>
          <w:b w:val="1"/>
          <w:bCs w:val="1"/>
          <w:color w:val="auto"/>
        </w:rPr>
      </w:pPr>
    </w:p>
    <w:p>
      <w:pPr>
        <w:ind w:left="629" w:right="12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insofar as these are reflected in the Company's annual report and/or annual accounts over the financial year 2025 or in other public disclosures or communications to the Company’s general meeting of shareholders.</w:t>
      </w:r>
    </w:p>
    <w:p>
      <w:pPr>
        <w:spacing w:after="0" w:line="182" w:lineRule="exact"/>
        <w:rPr>
          <w:rFonts w:ascii="Times New Roman" w:cs="Times New Roman" w:eastAsia="Times New Roman" w:hAnsi="Times New Roman"/>
          <w:sz w:val="20"/>
          <w:szCs w:val="20"/>
          <w:b w:val="1"/>
          <w:bCs w:val="1"/>
          <w:color w:val="auto"/>
        </w:rPr>
      </w:pPr>
    </w:p>
    <w:p>
      <w:pPr>
        <w:ind w:left="649" w:right="100" w:hanging="649"/>
        <w:spacing w:after="0" w:line="315" w:lineRule="auto"/>
        <w:tabs>
          <w:tab w:leader="none" w:pos="63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Re-appointment of Rolf Schrömgens as supervisory director for a period expiring at the end of the annual general meeting to be held in the year 2029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196" w:lineRule="exact"/>
        <w:rPr>
          <w:rFonts w:ascii="Times New Roman" w:cs="Times New Roman" w:eastAsia="Times New Roman" w:hAnsi="Times New Roman"/>
          <w:sz w:val="20"/>
          <w:szCs w:val="20"/>
          <w:b w:val="1"/>
          <w:bCs w:val="1"/>
          <w:color w:val="auto"/>
        </w:rPr>
      </w:pPr>
    </w:p>
    <w:p>
      <w:pPr>
        <w:ind w:left="629" w:right="10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supervisory board has made a binding nomination to re-appoint Rolf Schrömgens as supervisory director of the Company for a period expiring at the end of the annual general meeting to be held in the year 2029.</w:t>
      </w:r>
    </w:p>
    <w:p>
      <w:pPr>
        <w:spacing w:after="0" w:line="186" w:lineRule="exact"/>
        <w:rPr>
          <w:rFonts w:ascii="Times New Roman" w:cs="Times New Roman" w:eastAsia="Times New Roman" w:hAnsi="Times New Roman"/>
          <w:sz w:val="20"/>
          <w:szCs w:val="20"/>
          <w:b w:val="1"/>
          <w:bCs w:val="1"/>
          <w:color w:val="auto"/>
        </w:rPr>
      </w:pPr>
    </w:p>
    <w:p>
      <w:pPr>
        <w:jc w:val="both"/>
        <w:ind w:left="629" w:right="100"/>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Rolf Schrömgens (49) is the co-founder of leadership.sprouts, an organization that aims to evolve leadership into the digital age. He also is the co-founder of brafe.space, a movement to create a space for entrepreneurs and activists to evolve themselves and their organizations. Until the end of 2019, Mr. Schrömgens was Chief Executive Officer of trivago. He already served as director</w:t>
      </w:r>
    </w:p>
    <w:p>
      <w:pPr>
        <w:spacing w:after="0" w:line="1" w:lineRule="exact"/>
        <w:rPr>
          <w:rFonts w:ascii="Times New Roman" w:cs="Times New Roman" w:eastAsia="Times New Roman" w:hAnsi="Times New Roman"/>
          <w:sz w:val="20"/>
          <w:szCs w:val="20"/>
          <w:b w:val="1"/>
          <w:bCs w:val="1"/>
          <w:color w:val="auto"/>
        </w:rPr>
      </w:pPr>
    </w:p>
    <w:p>
      <w:pPr>
        <w:jc w:val="both"/>
        <w:ind w:left="62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of the supervisory board of trivago in 2020 and 2021. Prior to founding trivago GmbH, Mr. Schrömgens was founder and VP at ciao.com, a consumer review website, from 1999 to 2001. Mr. Schrömgens holds a diploma in management from Leipzig Graduate School of Management (HHL).</w:t>
      </w:r>
    </w:p>
    <w:p>
      <w:pPr>
        <w:spacing w:after="0" w:line="202" w:lineRule="exact"/>
        <w:rPr>
          <w:rFonts w:ascii="Times New Roman" w:cs="Times New Roman" w:eastAsia="Times New Roman" w:hAnsi="Times New Roman"/>
          <w:sz w:val="20"/>
          <w:szCs w:val="20"/>
          <w:b w:val="1"/>
          <w:bCs w:val="1"/>
          <w:color w:val="auto"/>
        </w:rPr>
      </w:pPr>
    </w:p>
    <w:p>
      <w:pPr>
        <w:ind w:left="62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Mr. Schrömgens holds 34,483,930 Class A shares and 28,468,807 Class B shares in the Company's share capital.</w:t>
      </w:r>
    </w:p>
    <w:p>
      <w:pPr>
        <w:spacing w:after="0" w:line="296" w:lineRule="exact"/>
        <w:rPr>
          <w:rFonts w:ascii="Times New Roman" w:cs="Times New Roman" w:eastAsia="Times New Roman" w:hAnsi="Times New Roman"/>
          <w:sz w:val="20"/>
          <w:szCs w:val="20"/>
          <w:b w:val="1"/>
          <w:bCs w:val="1"/>
          <w:color w:val="auto"/>
        </w:rPr>
      </w:pPr>
    </w:p>
    <w:p>
      <w:pPr>
        <w:jc w:val="both"/>
        <w:ind w:left="62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Mr. Schrömgens has been nominated for re-appointment in view of his experience, background and skills, the dedication with which he has performed his duties as supervisory director during his previous term of office, and in order to improve continuity on the Company's supervisory board.</w:t>
      </w:r>
    </w:p>
    <w:p>
      <w:pPr>
        <w:sectPr>
          <w:pgSz w:w="11900" w:h="16838" w:orient="portrait"/>
          <w:cols w:equalWidth="0" w:num="1">
            <w:col w:w="11129"/>
          </w:cols>
          <w:pgMar w:left="431" w:top="1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9" w:hanging="629"/>
        <w:spacing w:after="0"/>
        <w:tabs>
          <w:tab w:leader="none" w:pos="62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Approval of an amendment to the Company's 2016 Amended and Restated Omnibus Incentive Plan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96" w:lineRule="exact"/>
        <w:rPr>
          <w:rFonts w:ascii="Times New Roman" w:cs="Times New Roman" w:eastAsia="Times New Roman" w:hAnsi="Times New Roman"/>
          <w:sz w:val="20"/>
          <w:szCs w:val="20"/>
          <w:b w:val="1"/>
          <w:bCs w:val="1"/>
          <w:color w:val="auto"/>
        </w:rPr>
      </w:pPr>
    </w:p>
    <w:p>
      <w:pPr>
        <w:jc w:val="both"/>
        <w:ind w:left="629" w:right="100"/>
        <w:spacing w:after="0" w:line="29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maximum number of class A shares in the Company's capital ("</w:t>
      </w:r>
      <w:r>
        <w:rPr>
          <w:rFonts w:ascii="Times New Roman" w:cs="Times New Roman" w:eastAsia="Times New Roman" w:hAnsi="Times New Roman"/>
          <w:sz w:val="20"/>
          <w:szCs w:val="20"/>
          <w:b w:val="1"/>
          <w:bCs w:val="1"/>
          <w:color w:val="auto"/>
        </w:rPr>
        <w:t>Class A Shares</w:t>
      </w:r>
      <w:r>
        <w:rPr>
          <w:rFonts w:ascii="Times New Roman" w:cs="Times New Roman" w:eastAsia="Times New Roman" w:hAnsi="Times New Roman"/>
          <w:sz w:val="20"/>
          <w:szCs w:val="20"/>
          <w:color w:val="auto"/>
        </w:rPr>
        <w:t>") that may be delivered pursuant to the Company's 2016 Amended and Restated Omnibus Incentive Plan (the "</w:t>
      </w:r>
      <w:r>
        <w:rPr>
          <w:rFonts w:ascii="Times New Roman" w:cs="Times New Roman" w:eastAsia="Times New Roman" w:hAnsi="Times New Roman"/>
          <w:sz w:val="20"/>
          <w:szCs w:val="20"/>
          <w:b w:val="1"/>
          <w:bCs w:val="1"/>
          <w:color w:val="auto"/>
        </w:rPr>
        <w:t>2016 Plan</w:t>
      </w:r>
      <w:r>
        <w:rPr>
          <w:rFonts w:ascii="Times New Roman" w:cs="Times New Roman" w:eastAsia="Times New Roman" w:hAnsi="Times New Roman"/>
          <w:sz w:val="20"/>
          <w:szCs w:val="20"/>
          <w:color w:val="auto"/>
        </w:rPr>
        <w:t>") is currently 80,161,948. The Company has nearly reached this maximum. It is therefore proposed that the AGM resolves to amend the 2016 Plan by increasing the maximum number of Class A Shares that may be delivered pursuant to the 2016 Plan by 34,836,725 Class A Shares, such that the new maximum will be 114,998,673 Class A Shares.</w:t>
      </w:r>
    </w:p>
    <w:p>
      <w:pPr>
        <w:spacing w:after="0" w:line="206" w:lineRule="exact"/>
        <w:rPr>
          <w:rFonts w:ascii="Times New Roman" w:cs="Times New Roman" w:eastAsia="Times New Roman" w:hAnsi="Times New Roman"/>
          <w:sz w:val="20"/>
          <w:szCs w:val="20"/>
          <w:b w:val="1"/>
          <w:bCs w:val="1"/>
          <w:color w:val="auto"/>
        </w:rPr>
      </w:pPr>
    </w:p>
    <w:p>
      <w:pPr>
        <w:jc w:val="both"/>
        <w:ind w:left="62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addition, it is proposed to amend the 2016 Plan to extend its termination date. The 2016 Plan currently terminates on the tenth anniversary of the date of consummation of the Company’s initial public offering. Pursuant to the proposed amendment, the 2016 Plan will terminate on the tenth anniversary of the date on which the amendment is approved by the general meeting of shareholders. Any awards outstanding at the time of termination will not be affected by such termination.</w:t>
      </w:r>
    </w:p>
    <w:p>
      <w:pPr>
        <w:spacing w:after="0" w:line="201" w:lineRule="exact"/>
        <w:rPr>
          <w:rFonts w:ascii="Times New Roman" w:cs="Times New Roman" w:eastAsia="Times New Roman" w:hAnsi="Times New Roman"/>
          <w:sz w:val="20"/>
          <w:szCs w:val="20"/>
          <w:b w:val="1"/>
          <w:bCs w:val="1"/>
          <w:color w:val="auto"/>
        </w:rPr>
      </w:pPr>
    </w:p>
    <w:p>
      <w:pPr>
        <w:jc w:val="both"/>
        <w:ind w:left="629" w:right="100"/>
        <w:spacing w:after="0" w:line="30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Under the 2016 Plan, shares subject to an award may consist of authorized and unissued Class A Shares, Class A Shares held in treasury, or ADSs issued for Class A Shares. At the annual general meeting of the Company held on June 30, 2021, the Company's management board, subject to the approval of the supervisory board, was authorized, for a period of five years following that AGM, to resolve for the Company to (i) issue and/or grant rights to subscribe for Class A Shares and (ii) limit or exclude</w:t>
      </w:r>
    </w:p>
    <w:p>
      <w:pPr>
        <w:spacing w:after="0" w:line="1" w:lineRule="exact"/>
        <w:rPr>
          <w:rFonts w:ascii="Times New Roman" w:cs="Times New Roman" w:eastAsia="Times New Roman" w:hAnsi="Times New Roman"/>
          <w:sz w:val="20"/>
          <w:szCs w:val="20"/>
          <w:b w:val="1"/>
          <w:bCs w:val="1"/>
          <w:color w:val="auto"/>
        </w:rPr>
      </w:pPr>
    </w:p>
    <w:p>
      <w:pPr>
        <w:jc w:val="both"/>
        <w:ind w:left="62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preemption rights in relation to an issuance of, or granting of rights to subscribe for, such shares. The Company's management board shall continue to use such authorization if Class A Shares are issued and/or rights to subscribe for Class A Shares are granted under the 2016 Plan.</w:t>
      </w:r>
    </w:p>
    <w:p>
      <w:pPr>
        <w:spacing w:after="0" w:line="202" w:lineRule="exact"/>
        <w:rPr>
          <w:rFonts w:ascii="Times New Roman" w:cs="Times New Roman" w:eastAsia="Times New Roman" w:hAnsi="Times New Roman"/>
          <w:sz w:val="20"/>
          <w:szCs w:val="20"/>
          <w:b w:val="1"/>
          <w:bCs w:val="1"/>
          <w:color w:val="auto"/>
        </w:rPr>
      </w:pPr>
    </w:p>
    <w:p>
      <w:pPr>
        <w:ind w:left="62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order to address the Company's expected equity grant cycle ahead of the AGM, the Company may grant certain awards under</w:t>
      </w:r>
    </w:p>
    <w:p>
      <w:pPr>
        <w:spacing w:after="0" w:line="53" w:lineRule="exact"/>
        <w:rPr>
          <w:rFonts w:ascii="Times New Roman" w:cs="Times New Roman" w:eastAsia="Times New Roman" w:hAnsi="Times New Roman"/>
          <w:sz w:val="20"/>
          <w:szCs w:val="20"/>
          <w:b w:val="1"/>
          <w:bCs w:val="1"/>
          <w:color w:val="auto"/>
        </w:rPr>
      </w:pPr>
    </w:p>
    <w:p>
      <w:pPr>
        <w:jc w:val="both"/>
        <w:ind w:left="629" w:right="100"/>
        <w:spacing w:after="0" w:line="29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2016 Plan from the proposed increased reserve prior to the AGM on an expressly contingent basis. Such awards will not be exercisable, or settled in Class A Shares to the extent that the proposed amendment to the 2016 Plan would be required to make such Class A Shares available for issuance, unless and until the AGM has approved the proposed amendment to the 2016 Plan. No Class A Shares from the proposed incremental reserve will be issued or delivered unless and until the AGM approves this agenda item.</w:t>
      </w:r>
    </w:p>
    <w:p>
      <w:pPr>
        <w:spacing w:after="0" w:line="203" w:lineRule="exact"/>
        <w:rPr>
          <w:rFonts w:ascii="Times New Roman" w:cs="Times New Roman" w:eastAsia="Times New Roman" w:hAnsi="Times New Roman"/>
          <w:sz w:val="20"/>
          <w:szCs w:val="20"/>
          <w:b w:val="1"/>
          <w:bCs w:val="1"/>
          <w:color w:val="auto"/>
        </w:rPr>
      </w:pPr>
    </w:p>
    <w:p>
      <w:pPr>
        <w:ind w:left="649" w:hanging="649"/>
        <w:spacing w:after="0"/>
        <w:tabs>
          <w:tab w:leader="none" w:pos="64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Authorization of the management board to acquire shares in the Company's capital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87" w:lineRule="exact"/>
        <w:rPr>
          <w:rFonts w:ascii="Times New Roman" w:cs="Times New Roman" w:eastAsia="Times New Roman" w:hAnsi="Times New Roman"/>
          <w:sz w:val="20"/>
          <w:szCs w:val="20"/>
          <w:b w:val="1"/>
          <w:bCs w:val="1"/>
          <w:color w:val="auto"/>
        </w:rPr>
      </w:pPr>
    </w:p>
    <w:p>
      <w:pPr>
        <w:ind w:left="62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proposed to authorize the Company's management board, subject to the approval of its supervisory board as required by the</w:t>
      </w:r>
    </w:p>
    <w:p>
      <w:pPr>
        <w:spacing w:after="0" w:line="53" w:lineRule="exact"/>
        <w:rPr>
          <w:rFonts w:ascii="Times New Roman" w:cs="Times New Roman" w:eastAsia="Times New Roman" w:hAnsi="Times New Roman"/>
          <w:sz w:val="20"/>
          <w:szCs w:val="20"/>
          <w:b w:val="1"/>
          <w:bCs w:val="1"/>
          <w:color w:val="auto"/>
        </w:rPr>
      </w:pPr>
    </w:p>
    <w:p>
      <w:pPr>
        <w:jc w:val="both"/>
        <w:ind w:left="629" w:right="100"/>
        <w:spacing w:after="0" w:line="30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Company's management board rules and articles of association, to resolve for the Company to acquire fully paid-up shares in the Company's capital (or depositary receipts for such shares) by any means, including through derivative products, purchases on a stock exchange, private purchases, block trades, or otherwise, for a price which is higher than nil and does not exceed 120% of the average market price of American Depositary Receipts for Class A Shares on the NASDAQ Stock Market (such average market</w:t>
      </w:r>
    </w:p>
    <w:p>
      <w:pPr>
        <w:spacing w:after="0" w:line="1" w:lineRule="exact"/>
        <w:rPr>
          <w:rFonts w:ascii="Times New Roman" w:cs="Times New Roman" w:eastAsia="Times New Roman" w:hAnsi="Times New Roman"/>
          <w:sz w:val="20"/>
          <w:szCs w:val="20"/>
          <w:b w:val="1"/>
          <w:bCs w:val="1"/>
          <w:color w:val="auto"/>
        </w:rPr>
      </w:pPr>
    </w:p>
    <w:p>
      <w:pPr>
        <w:ind w:left="629" w:right="12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price being the average of the closing prices on each of the five consecutive trading days preceding the date the acquisition is agreed upon by the Company), up to 10% of</w:t>
      </w:r>
    </w:p>
    <w:p>
      <w:pPr>
        <w:sectPr>
          <w:pgSz w:w="11900" w:h="16838" w:orient="portrait"/>
          <w:cols w:equalWidth="0" w:num="1">
            <w:col w:w="11129"/>
          </w:cols>
          <w:pgMar w:left="431" w:top="1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9"/>
        <w:spacing w:after="0"/>
        <w:rPr>
          <w:sz w:val="20"/>
          <w:szCs w:val="20"/>
          <w:color w:val="auto"/>
        </w:rPr>
      </w:pPr>
      <w:r>
        <w:rPr>
          <w:rFonts w:ascii="Times New Roman" w:cs="Times New Roman" w:eastAsia="Times New Roman" w:hAnsi="Times New Roman"/>
          <w:sz w:val="20"/>
          <w:szCs w:val="20"/>
          <w:color w:val="auto"/>
        </w:rPr>
        <w:t>the Company's issued share capital (determined as at the close of business on the date of the AGM).</w:t>
      </w:r>
    </w:p>
    <w:p>
      <w:pPr>
        <w:spacing w:after="0" w:line="293" w:lineRule="exact"/>
        <w:rPr>
          <w:sz w:val="20"/>
          <w:szCs w:val="20"/>
          <w:color w:val="auto"/>
        </w:rPr>
      </w:pPr>
    </w:p>
    <w:p>
      <w:pPr>
        <w:ind w:left="649" w:hanging="649"/>
        <w:spacing w:after="0"/>
        <w:tabs>
          <w:tab w:leader="none" w:pos="649"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Authorization of the management board to cancel shares held by the Company (</w:t>
      </w:r>
      <w:r>
        <w:rPr>
          <w:rFonts w:ascii="Times New Roman" w:cs="Times New Roman" w:eastAsia="Times New Roman" w:hAnsi="Times New Roman"/>
          <w:sz w:val="20"/>
          <w:szCs w:val="20"/>
          <w:b w:val="1"/>
          <w:bCs w:val="1"/>
          <w:i w:val="1"/>
          <w:iCs w:val="1"/>
          <w:color w:val="auto"/>
        </w:rPr>
        <w:t>voting item</w:t>
      </w:r>
      <w:r>
        <w:rPr>
          <w:rFonts w:ascii="Times New Roman" w:cs="Times New Roman" w:eastAsia="Times New Roman" w:hAnsi="Times New Roman"/>
          <w:sz w:val="20"/>
          <w:szCs w:val="20"/>
          <w:b w:val="1"/>
          <w:bCs w:val="1"/>
          <w:color w:val="auto"/>
        </w:rPr>
        <w:t>)</w:t>
      </w:r>
    </w:p>
    <w:p>
      <w:pPr>
        <w:spacing w:after="0" w:line="287" w:lineRule="exact"/>
        <w:rPr>
          <w:rFonts w:ascii="Times New Roman" w:cs="Times New Roman" w:eastAsia="Times New Roman" w:hAnsi="Times New Roman"/>
          <w:sz w:val="20"/>
          <w:szCs w:val="20"/>
          <w:b w:val="1"/>
          <w:bCs w:val="1"/>
          <w:color w:val="auto"/>
        </w:rPr>
      </w:pPr>
    </w:p>
    <w:p>
      <w:pPr>
        <w:jc w:val="both"/>
        <w:ind w:left="629" w:right="100"/>
        <w:spacing w:after="0" w:line="28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It is proposed to authorize the Company's management board, subject to the approval of the supervisory board, to resolve to cancel shares in the Company's capital that are held or will be acquired by the Company in its own share capital on the date of the AGM or during the period of 18 months following the AGM and in accordance with the authorization under agenda item 12.</w:t>
      </w:r>
    </w:p>
    <w:p>
      <w:pPr>
        <w:spacing w:after="0" w:line="1" w:lineRule="exact"/>
        <w:rPr>
          <w:rFonts w:ascii="Times New Roman" w:cs="Times New Roman" w:eastAsia="Times New Roman" w:hAnsi="Times New Roman"/>
          <w:sz w:val="20"/>
          <w:szCs w:val="20"/>
          <w:b w:val="1"/>
          <w:bCs w:val="1"/>
          <w:color w:val="auto"/>
        </w:rPr>
      </w:pPr>
    </w:p>
    <w:p>
      <w:pPr>
        <w:jc w:val="both"/>
        <w:ind w:left="629" w:right="100"/>
        <w:spacing w:after="0" w:line="29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purpose of this proposal is to allow for optimization of the Company's equity structure through cancellation of shares held or to be acquired by the Company, to the extent that such shares will not be used to cover obligations of the Company or for other purposes.</w:t>
      </w:r>
    </w:p>
    <w:p>
      <w:pPr>
        <w:spacing w:after="0" w:line="202" w:lineRule="exact"/>
        <w:rPr>
          <w:rFonts w:ascii="Times New Roman" w:cs="Times New Roman" w:eastAsia="Times New Roman" w:hAnsi="Times New Roman"/>
          <w:sz w:val="20"/>
          <w:szCs w:val="20"/>
          <w:b w:val="1"/>
          <w:bCs w:val="1"/>
          <w:color w:val="auto"/>
        </w:rPr>
      </w:pPr>
    </w:p>
    <w:p>
      <w:pPr>
        <w:ind w:left="629" w:right="100"/>
        <w:spacing w:after="0" w:line="31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proposed cancellation may be executed in one or more tranches. The number of shares that will be cancelled (whether or not in tranches) shall be determined by the management board, after approval of the supervisory board.</w:t>
      </w:r>
    </w:p>
    <w:p>
      <w:pPr>
        <w:spacing w:after="0" w:line="200" w:lineRule="exact"/>
        <w:rPr>
          <w:rFonts w:ascii="Times New Roman" w:cs="Times New Roman" w:eastAsia="Times New Roman" w:hAnsi="Times New Roman"/>
          <w:sz w:val="20"/>
          <w:szCs w:val="20"/>
          <w:b w:val="1"/>
          <w:bCs w:val="1"/>
          <w:color w:val="auto"/>
        </w:rPr>
      </w:pPr>
    </w:p>
    <w:p>
      <w:pPr>
        <w:ind w:left="629"/>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cancellation shall take place with due observation of the applicable law and the Company's articles of association.</w:t>
      </w:r>
    </w:p>
    <w:sectPr>
      <w:pgSz w:w="11900" w:h="16838" w:orient="portrait"/>
      <w:cols w:equalWidth="0" w:num="1">
        <w:col w:w="11129"/>
      </w:cols>
      <w:pgMar w:left="431"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2026-05-28T09:14:46Z</dcterms:created>
  <dcterms:modified xsi:type="dcterms:W3CDTF">2026-05-28T09:14:46Z</dcterms:modified>
</cp:coreProperties>
</file>