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62056.xml.htm"/>
      <w:bookmarkStart w:id="1" w:name="kswkform4_17870620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Dinwoodie Anna Grace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TRIVAGO N.V.</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KESSELSTRASSE 5-7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DUSSELDORF</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40221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GERMANY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trivago N.V.</w:t>
              </w:r>
            </w:hyperlink>
            <w:r>
              <w:rPr/>
              <w:t xml:space="preserve"> [ </w:t>
            </w:r>
            <w:r>
              <w:rPr>
                <w:rFonts w:ascii="Times;serif" w:hAnsi="Times;serif"/>
                <w:color w:val="0000FF"/>
                <w:sz w:val="24"/>
                <w:shd w:fill="FFFFFF" w:val="clear"/>
              </w:rPr>
              <w:t>TRVG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Financial Reporting Lead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31"/>
        <w:gridCol w:w="906"/>
        <w:gridCol w:w="774"/>
        <w:gridCol w:w="601"/>
        <w:gridCol w:w="351"/>
        <w:gridCol w:w="853"/>
        <w:gridCol w:w="460"/>
        <w:gridCol w:w="623"/>
        <w:gridCol w:w="1173"/>
        <w:gridCol w:w="1005"/>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1,325</w:t>
            </w:r>
          </w:p>
        </w:tc>
        <w:tc>
          <w:tcPr>
            <w:tcW w:w="4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4,085</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w:t>
            </w:r>
          </w:p>
        </w:tc>
        <w:tc>
          <w:tcPr>
            <w:tcW w:w="4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3,665</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7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1026"/>
        <w:gridCol w:w="636"/>
        <w:gridCol w:w="801"/>
        <w:gridCol w:w="936"/>
        <w:gridCol w:w="831"/>
        <w:gridCol w:w="846"/>
      </w:tblGrid>
      <w:tr>
        <w:trPr>
          <w:tblHeader w:val="true"/>
        </w:trPr>
        <w:tc>
          <w:tcPr>
            <w:tcW w:w="1197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One (1) American Depositary Share (ADS) represents five (5) Class A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American Depositary Shares of trivago N.V. withheld for payment of taxes due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Restricted Stock Units were granted on December 4, 2025 for a total of 11,400 units. 1/12th vested on February 15, 2026, and an additional 1/12th will vest quarterly on the vesting dates 15 February, 15 May, 15 August and 15 November thereafter until the award is fully vested, subject to continued service on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RSUs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Restricted Stock Units were granted on February 27, 2025 for a total of 4,506 units. 1/12th vested on May 15, 2025, and an additional 1/12th will vest quarterly on the vesting dates 15 February, 15 May, 15 August and 15 November thereafter until the award is fully vested, subject to continued service on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Olga Mizikova,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2954" TargetMode="External"/><Relationship Id="rId5" Type="http://schemas.openxmlformats.org/officeDocument/2006/relationships/hyperlink" Target="http://www.sec.gov/cgi-bin/browse-edgar?action=getcompany&amp;CIK=00016838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773</Words>
  <Characters>4149</Characters>
  <CharactersWithSpaces>4813</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